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37" w:rsidRPr="00247466" w:rsidRDefault="0083566B" w:rsidP="00247466">
      <w:pPr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bookmarkStart w:id="0" w:name="_GoBack"/>
      <w:r w:rsidRPr="00247466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北京市神经外科研究所</w:t>
      </w:r>
      <w:bookmarkStart w:id="1" w:name="OLE_LINK1"/>
      <w:r w:rsidRPr="00247466">
        <w:rPr>
          <w:rFonts w:ascii="Times New Roman" w:eastAsia="宋体" w:hAnsi="Times New Roman" w:cs="Times New Roman"/>
          <w:b/>
          <w:bCs/>
          <w:sz w:val="30"/>
          <w:szCs w:val="30"/>
        </w:rPr>
        <w:t>“</w:t>
      </w:r>
      <w:r w:rsidRPr="00247466">
        <w:rPr>
          <w:rFonts w:ascii="Times New Roman" w:eastAsia="宋体" w:hAnsi="Times New Roman" w:cs="Times New Roman"/>
          <w:b/>
          <w:bCs/>
          <w:sz w:val="30"/>
          <w:szCs w:val="30"/>
        </w:rPr>
        <w:t>中国脑胶质瘤基因组图谱计划</w:t>
      </w:r>
      <w:r w:rsidRPr="00247466">
        <w:rPr>
          <w:rFonts w:ascii="Times New Roman" w:eastAsia="宋体" w:hAnsi="Times New Roman" w:cs="Times New Roman"/>
          <w:b/>
          <w:bCs/>
          <w:sz w:val="30"/>
          <w:szCs w:val="30"/>
        </w:rPr>
        <w:t>CGGA</w:t>
      </w:r>
      <w:r w:rsidRPr="00247466">
        <w:rPr>
          <w:rFonts w:ascii="Times New Roman" w:eastAsia="宋体" w:hAnsi="Times New Roman" w:cs="Times New Roman"/>
          <w:b/>
          <w:bCs/>
          <w:sz w:val="30"/>
          <w:szCs w:val="30"/>
        </w:rPr>
        <w:t>”</w:t>
      </w:r>
      <w:r w:rsidRPr="00247466">
        <w:rPr>
          <w:rFonts w:ascii="Times New Roman" w:eastAsia="宋体" w:hAnsi="Times New Roman" w:cs="Times New Roman"/>
          <w:b/>
          <w:bCs/>
          <w:sz w:val="30"/>
          <w:szCs w:val="30"/>
        </w:rPr>
        <w:t>展厅设计及布置</w:t>
      </w:r>
      <w:bookmarkEnd w:id="1"/>
      <w:r w:rsidRPr="00247466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项目评分标准</w:t>
      </w:r>
      <w:bookmarkEnd w:id="0"/>
    </w:p>
    <w:tbl>
      <w:tblPr>
        <w:tblStyle w:val="a5"/>
        <w:tblW w:w="15520" w:type="dxa"/>
        <w:tblInd w:w="-670" w:type="dxa"/>
        <w:tblLayout w:type="fixed"/>
        <w:tblLook w:val="04A0"/>
      </w:tblPr>
      <w:tblGrid>
        <w:gridCol w:w="709"/>
        <w:gridCol w:w="1985"/>
        <w:gridCol w:w="12332"/>
        <w:gridCol w:w="494"/>
      </w:tblGrid>
      <w:tr w:rsidR="00253237" w:rsidTr="00247466">
        <w:trPr>
          <w:trHeight w:val="502"/>
        </w:trPr>
        <w:tc>
          <w:tcPr>
            <w:tcW w:w="2694" w:type="dxa"/>
            <w:gridSpan w:val="2"/>
            <w:vAlign w:val="center"/>
          </w:tcPr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评审因素</w:t>
            </w:r>
          </w:p>
        </w:tc>
        <w:tc>
          <w:tcPr>
            <w:tcW w:w="12332" w:type="dxa"/>
            <w:vAlign w:val="center"/>
          </w:tcPr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评价指标和分值</w:t>
            </w:r>
          </w:p>
        </w:tc>
        <w:tc>
          <w:tcPr>
            <w:tcW w:w="494" w:type="dxa"/>
            <w:vAlign w:val="center"/>
          </w:tcPr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备注</w:t>
            </w:r>
          </w:p>
        </w:tc>
      </w:tr>
      <w:tr w:rsidR="00253237" w:rsidTr="00247466">
        <w:tc>
          <w:tcPr>
            <w:tcW w:w="2694" w:type="dxa"/>
            <w:gridSpan w:val="2"/>
            <w:vAlign w:val="center"/>
          </w:tcPr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报价（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12332" w:type="dxa"/>
            <w:vAlign w:val="center"/>
          </w:tcPr>
          <w:p w:rsidR="00253237" w:rsidRDefault="0083566B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评标价格分数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（评标基准价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投标报价）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价格权重（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×100</w:t>
            </w:r>
          </w:p>
          <w:p w:rsidR="00253237" w:rsidRDefault="0083566B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注：实质性响应文件要求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的投标人报价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之合除以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投标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投标人数量的加权平均数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为评标基准价）</w:t>
            </w:r>
          </w:p>
        </w:tc>
        <w:tc>
          <w:tcPr>
            <w:tcW w:w="494" w:type="dxa"/>
            <w:vAlign w:val="center"/>
          </w:tcPr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客观</w:t>
            </w:r>
          </w:p>
        </w:tc>
      </w:tr>
      <w:tr w:rsidR="00253237" w:rsidTr="00247466">
        <w:tc>
          <w:tcPr>
            <w:tcW w:w="709" w:type="dxa"/>
            <w:vAlign w:val="center"/>
          </w:tcPr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商务</w:t>
            </w:r>
          </w:p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部分</w:t>
            </w:r>
          </w:p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1985" w:type="dxa"/>
            <w:vAlign w:val="center"/>
          </w:tcPr>
          <w:p w:rsidR="00253237" w:rsidRDefault="0083566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投标人项目业绩（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2332" w:type="dxa"/>
            <w:vAlign w:val="center"/>
          </w:tcPr>
          <w:p w:rsidR="00253237" w:rsidRDefault="0083566B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根据投标人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日至今，从事展览、展厅领域类似案例服务情况进行评价：每提供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项得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分，最高得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分。（需提供合同首页、服务内容页、服务期限页、签字盖章页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494" w:type="dxa"/>
            <w:vAlign w:val="center"/>
          </w:tcPr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客观</w:t>
            </w:r>
          </w:p>
        </w:tc>
      </w:tr>
      <w:tr w:rsidR="00253237" w:rsidTr="00247466">
        <w:tc>
          <w:tcPr>
            <w:tcW w:w="709" w:type="dxa"/>
            <w:vMerge w:val="restart"/>
            <w:vAlign w:val="center"/>
          </w:tcPr>
          <w:p w:rsidR="00253237" w:rsidRDefault="002532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53237" w:rsidRDefault="002532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53237" w:rsidRDefault="002532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53237" w:rsidRDefault="002532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53237" w:rsidRDefault="002532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技术</w:t>
            </w:r>
          </w:p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部分</w:t>
            </w:r>
          </w:p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分）</w:t>
            </w:r>
          </w:p>
          <w:p w:rsidR="00253237" w:rsidRDefault="002532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3237" w:rsidRDefault="0083566B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对响应文件技术规格要求的响应程度（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2332" w:type="dxa"/>
            <w:vAlign w:val="center"/>
          </w:tcPr>
          <w:p w:rsidR="00253237" w:rsidRDefault="0083566B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响应文件技术规格响应全部满足技术要求的为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分，其中有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项条款不满足的，扣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分，最低得分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分，将按照无效投标处理，予以拒绝。</w:t>
            </w:r>
          </w:p>
        </w:tc>
        <w:tc>
          <w:tcPr>
            <w:tcW w:w="494" w:type="dxa"/>
            <w:vAlign w:val="center"/>
          </w:tcPr>
          <w:p w:rsidR="00253237" w:rsidRDefault="0083566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客观</w:t>
            </w:r>
          </w:p>
        </w:tc>
      </w:tr>
      <w:tr w:rsidR="00253237" w:rsidTr="00247466">
        <w:tc>
          <w:tcPr>
            <w:tcW w:w="709" w:type="dxa"/>
            <w:vMerge/>
            <w:vAlign w:val="center"/>
          </w:tcPr>
          <w:p w:rsidR="00253237" w:rsidRDefault="002532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3237" w:rsidRDefault="0083566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服务方案</w:t>
            </w:r>
          </w:p>
          <w:p w:rsidR="00253237" w:rsidRDefault="0083566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2332" w:type="dxa"/>
            <w:vAlign w:val="center"/>
          </w:tcPr>
          <w:p w:rsidR="00253237" w:rsidRDefault="0083566B" w:rsidP="00247466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充分结合项目特征，提出有针对性的具体服务方案。服务方案内容完整，针对性、可行性、合理性、可靠性、安全性强，完全满足采购人需求：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分；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能够结合项目特征，提出有一定针对性的具体服务方案。服务方案内容较完整，针对性、可行性、合理性、可靠性、安全性较强，较好地满足采购人需求：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分；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能够结合项目部分特征提出服务方案。服务方案内容基本完整，针对性、可行性、合理性、可靠性、安全性一般，基本满足采购人需求：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分；未提供服务方案的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</w:tc>
        <w:tc>
          <w:tcPr>
            <w:tcW w:w="494" w:type="dxa"/>
            <w:vAlign w:val="center"/>
          </w:tcPr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主观</w:t>
            </w:r>
          </w:p>
        </w:tc>
      </w:tr>
      <w:tr w:rsidR="00253237" w:rsidTr="00247466">
        <w:tc>
          <w:tcPr>
            <w:tcW w:w="709" w:type="dxa"/>
            <w:vMerge/>
            <w:vAlign w:val="center"/>
          </w:tcPr>
          <w:p w:rsidR="00253237" w:rsidRDefault="002532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3237" w:rsidRDefault="0083566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项目团队人员（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2332" w:type="dxa"/>
            <w:vAlign w:val="center"/>
          </w:tcPr>
          <w:p w:rsidR="00253237" w:rsidRDefault="0083566B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项目组成员结构清晰，人员配备充足，团队人员从业经验充足，合理完整。根据人员工作经验、从业年限等综合评分，优秀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分，良好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分，一般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分，未提供得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494" w:type="dxa"/>
            <w:vAlign w:val="center"/>
          </w:tcPr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主观</w:t>
            </w:r>
          </w:p>
        </w:tc>
      </w:tr>
      <w:tr w:rsidR="00253237" w:rsidTr="00247466">
        <w:tc>
          <w:tcPr>
            <w:tcW w:w="709" w:type="dxa"/>
            <w:vMerge/>
            <w:vAlign w:val="center"/>
          </w:tcPr>
          <w:p w:rsidR="00253237" w:rsidRDefault="002532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3237" w:rsidRDefault="0083566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质量保证措施（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2332" w:type="dxa"/>
            <w:vAlign w:val="center"/>
          </w:tcPr>
          <w:p w:rsidR="00253237" w:rsidRDefault="0083566B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质量保证措施全面、合理、流程规范、严谨得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分；质量保证措施比较合理，具有可行性、流程规范得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分；质量保证措施合理性较差，部分满足项目需求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分；未提供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494" w:type="dxa"/>
            <w:vAlign w:val="center"/>
          </w:tcPr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主观</w:t>
            </w:r>
          </w:p>
        </w:tc>
      </w:tr>
      <w:tr w:rsidR="00253237" w:rsidTr="00247466">
        <w:tc>
          <w:tcPr>
            <w:tcW w:w="709" w:type="dxa"/>
            <w:vMerge/>
            <w:vAlign w:val="center"/>
          </w:tcPr>
          <w:p w:rsidR="00253237" w:rsidRDefault="002532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3237" w:rsidRDefault="0083566B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应急预案的能力（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2332" w:type="dxa"/>
            <w:vAlign w:val="center"/>
          </w:tcPr>
          <w:p w:rsidR="00253237" w:rsidRDefault="0083566B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应急预案，内容包括但不限于停水停电等事故应急措施；火警、火灾或爆炸事件的应急处理；地震应急预案；防汛应急预案；突发事件的应急措施和救援方案；设备故障应急预案；大面积爆管水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浸</w:t>
            </w:r>
            <w:proofErr w:type="gramEnd"/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应急预案；传染病等公共卫生事件应急措施；职业暴露（被锐器扎伤等处理程序），医疗废弃物应急预案等。优秀得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分；良好得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分；一般得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分；未提供得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分。</w:t>
            </w:r>
          </w:p>
        </w:tc>
        <w:tc>
          <w:tcPr>
            <w:tcW w:w="494" w:type="dxa"/>
            <w:vAlign w:val="center"/>
          </w:tcPr>
          <w:p w:rsidR="00253237" w:rsidRDefault="0083566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主观</w:t>
            </w:r>
          </w:p>
        </w:tc>
      </w:tr>
    </w:tbl>
    <w:p w:rsidR="00253237" w:rsidRDefault="00253237">
      <w:pPr>
        <w:rPr>
          <w:rFonts w:ascii="Times New Roman" w:eastAsia="宋体" w:hAnsi="Times New Roman" w:cs="Times New Roman"/>
          <w:sz w:val="24"/>
          <w:szCs w:val="24"/>
        </w:rPr>
      </w:pPr>
    </w:p>
    <w:sectPr w:rsidR="00253237" w:rsidSect="002532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66B" w:rsidRDefault="0083566B" w:rsidP="00247466">
      <w:r>
        <w:separator/>
      </w:r>
    </w:p>
  </w:endnote>
  <w:endnote w:type="continuationSeparator" w:id="0">
    <w:p w:rsidR="0083566B" w:rsidRDefault="0083566B" w:rsidP="00247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66B" w:rsidRDefault="0083566B" w:rsidP="00247466">
      <w:r>
        <w:separator/>
      </w:r>
    </w:p>
  </w:footnote>
  <w:footnote w:type="continuationSeparator" w:id="0">
    <w:p w:rsidR="0083566B" w:rsidRDefault="0083566B" w:rsidP="002474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2MTI3M7AwMTczNjczMzBS0lEKTi0uzszPAykwrQUAJJRrBSwAAAA="/>
  </w:docVars>
  <w:rsids>
    <w:rsidRoot w:val="00082D20"/>
    <w:rsid w:val="0002569A"/>
    <w:rsid w:val="00082D20"/>
    <w:rsid w:val="000B42D0"/>
    <w:rsid w:val="001165D0"/>
    <w:rsid w:val="00146819"/>
    <w:rsid w:val="0018673D"/>
    <w:rsid w:val="001A247D"/>
    <w:rsid w:val="00247466"/>
    <w:rsid w:val="00253237"/>
    <w:rsid w:val="00276172"/>
    <w:rsid w:val="002A3816"/>
    <w:rsid w:val="002D1DA8"/>
    <w:rsid w:val="002D31E9"/>
    <w:rsid w:val="002D3291"/>
    <w:rsid w:val="00307EF2"/>
    <w:rsid w:val="003201BF"/>
    <w:rsid w:val="0034202D"/>
    <w:rsid w:val="00354C6F"/>
    <w:rsid w:val="00396A52"/>
    <w:rsid w:val="003B476C"/>
    <w:rsid w:val="0045688D"/>
    <w:rsid w:val="00456DFF"/>
    <w:rsid w:val="00483BF1"/>
    <w:rsid w:val="004E466F"/>
    <w:rsid w:val="00510157"/>
    <w:rsid w:val="00590697"/>
    <w:rsid w:val="005E0C9C"/>
    <w:rsid w:val="006F4152"/>
    <w:rsid w:val="00721B99"/>
    <w:rsid w:val="007245D9"/>
    <w:rsid w:val="00725B77"/>
    <w:rsid w:val="00726D17"/>
    <w:rsid w:val="00727C57"/>
    <w:rsid w:val="00740F62"/>
    <w:rsid w:val="00792CDB"/>
    <w:rsid w:val="007A7866"/>
    <w:rsid w:val="0083187A"/>
    <w:rsid w:val="0083566B"/>
    <w:rsid w:val="0088569C"/>
    <w:rsid w:val="008978A3"/>
    <w:rsid w:val="008C184C"/>
    <w:rsid w:val="008D5AA3"/>
    <w:rsid w:val="00907F83"/>
    <w:rsid w:val="00916EC4"/>
    <w:rsid w:val="00932091"/>
    <w:rsid w:val="00952DA3"/>
    <w:rsid w:val="00953742"/>
    <w:rsid w:val="00971CC5"/>
    <w:rsid w:val="00980AA1"/>
    <w:rsid w:val="009B3F9B"/>
    <w:rsid w:val="009D180B"/>
    <w:rsid w:val="009F1CEF"/>
    <w:rsid w:val="00A026F8"/>
    <w:rsid w:val="00A325E6"/>
    <w:rsid w:val="00A357C5"/>
    <w:rsid w:val="00A36127"/>
    <w:rsid w:val="00A54F9C"/>
    <w:rsid w:val="00A55E06"/>
    <w:rsid w:val="00B87F6C"/>
    <w:rsid w:val="00BA60EA"/>
    <w:rsid w:val="00BD7CDE"/>
    <w:rsid w:val="00C056BC"/>
    <w:rsid w:val="00C21248"/>
    <w:rsid w:val="00CD30D8"/>
    <w:rsid w:val="00D0482D"/>
    <w:rsid w:val="00D04ACA"/>
    <w:rsid w:val="00D15B37"/>
    <w:rsid w:val="00D30A1E"/>
    <w:rsid w:val="00D35CA1"/>
    <w:rsid w:val="00E017AB"/>
    <w:rsid w:val="00E20959"/>
    <w:rsid w:val="00E50F09"/>
    <w:rsid w:val="00E66228"/>
    <w:rsid w:val="00EA3D2A"/>
    <w:rsid w:val="00F12F85"/>
    <w:rsid w:val="00F254B0"/>
    <w:rsid w:val="00F26201"/>
    <w:rsid w:val="00F46B84"/>
    <w:rsid w:val="00F7258E"/>
    <w:rsid w:val="00F817F3"/>
    <w:rsid w:val="00FB12CB"/>
    <w:rsid w:val="1DF96F03"/>
    <w:rsid w:val="29CE2C2E"/>
    <w:rsid w:val="6639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53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532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2532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25323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32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 张</dc:creator>
  <cp:lastModifiedBy>王帅</cp:lastModifiedBy>
  <cp:revision>3</cp:revision>
  <cp:lastPrinted>2023-11-09T01:16:00Z</cp:lastPrinted>
  <dcterms:created xsi:type="dcterms:W3CDTF">2026-04-16T06:43:00Z</dcterms:created>
  <dcterms:modified xsi:type="dcterms:W3CDTF">2026-04-16T06:50:00Z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eyJoZGlkIjoiMGE1NzdlYTllYTEwZDgzYThkM2Y3YWYzODVmZGZkYTIiLCJ1c2VySWQiOiIxNDYzNTA3NzQ1In0=</vt:lpwstr>
  </property>
  <property fmtid="{D5CDD505-2E9C-101B-9397-08002B2CF9AE}" pid="3" name="KSOProductBuildVer">
    <vt:lpwstr>2052-11.8.2.11734</vt:lpwstr>
  </property>
  <property fmtid="{D5CDD505-2E9C-101B-9397-08002B2CF9AE}" pid="4" name="ICV">
    <vt:lpwstr>6CE1AED84A9240EEB5313D0D31F57823</vt:lpwstr>
  </property>
</Properties>
</file>